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一、名词解释(每小题3分，共15分) </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 1.是指不会改变或破坏特定成本项目固有特征的时间和业务量的变动范围。</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2.是指企业在未来一段时间内，经过努力应该达到的最优化利润控制目标，它是企业未来经</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3.是指在经营期内为满足正常生产经营而动用现实货币资金支付的成本费用，又被称为付现的营运成本。</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4.是指一定期间内(一般为一年)企业为储存有关材料而发生的各项费用。</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5是指与特定决策方案相联系的、能对决策产生重大影响的、在短期经营决策中必须予以充分考虑的收入，又称有关收入。</w:t>
      </w:r>
    </w:p>
    <w:p>
      <w:pPr>
        <w:rPr>
          <w:sz w:val="18"/>
          <w:szCs w:val="18"/>
        </w:rPr>
      </w:pP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二、单选题</w:t>
      </w:r>
    </w:p>
    <w:p>
      <w:pP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 xml:space="preserve">1-10、DDBCA DBDBA </w:t>
      </w:r>
    </w:p>
    <w:p>
      <w:pP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三、多选</w:t>
      </w:r>
    </w:p>
    <w:p>
      <w:pP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1、</w:t>
      </w:r>
      <w:r>
        <w:rPr>
          <w:rFonts w:hint="eastAsia" w:ascii="微软雅黑" w:hAnsi="微软雅黑" w:eastAsia="微软雅黑" w:cs="微软雅黑"/>
          <w:sz w:val="18"/>
          <w:szCs w:val="18"/>
        </w:rPr>
        <w:t>ABC</w:t>
      </w:r>
      <w:r>
        <w:rPr>
          <w:rFonts w:hint="eastAsia" w:ascii="微软雅黑" w:hAnsi="微软雅黑" w:eastAsia="微软雅黑" w:cs="微软雅黑"/>
          <w:sz w:val="18"/>
          <w:szCs w:val="18"/>
          <w:lang w:val="en-US" w:eastAsia="zh-CN"/>
        </w:rPr>
        <w:t xml:space="preserve">  2、</w:t>
      </w:r>
      <w:r>
        <w:rPr>
          <w:rFonts w:hint="eastAsia" w:ascii="微软雅黑" w:hAnsi="微软雅黑" w:eastAsia="微软雅黑" w:cs="微软雅黑"/>
          <w:sz w:val="18"/>
          <w:szCs w:val="18"/>
        </w:rPr>
        <w:t>ABCDE</w:t>
      </w:r>
    </w:p>
    <w:p>
      <w:pP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3、</w:t>
      </w:r>
      <w:r>
        <w:rPr>
          <w:rFonts w:hint="eastAsia" w:ascii="微软雅黑" w:hAnsi="微软雅黑" w:eastAsia="微软雅黑" w:cs="微软雅黑"/>
          <w:sz w:val="18"/>
          <w:szCs w:val="18"/>
        </w:rPr>
        <w:t>ABCD</w:t>
      </w:r>
      <w:r>
        <w:rPr>
          <w:rFonts w:hint="eastAsia" w:ascii="微软雅黑" w:hAnsi="微软雅黑" w:eastAsia="微软雅黑" w:cs="微软雅黑"/>
          <w:sz w:val="18"/>
          <w:szCs w:val="18"/>
          <w:lang w:val="en-US" w:eastAsia="zh-CN"/>
        </w:rPr>
        <w:t xml:space="preserve">   4、</w:t>
      </w:r>
      <w:r>
        <w:rPr>
          <w:rFonts w:hint="eastAsia" w:ascii="微软雅黑" w:hAnsi="微软雅黑" w:eastAsia="微软雅黑" w:cs="微软雅黑"/>
          <w:sz w:val="18"/>
          <w:szCs w:val="18"/>
        </w:rPr>
        <w:t>DE</w:t>
      </w:r>
      <w:bookmarkStart w:id="0" w:name="_GoBack"/>
      <w:bookmarkEnd w:id="0"/>
    </w:p>
    <w:p>
      <w:pPr>
        <w:rPr>
          <w:rFonts w:hint="eastAsia" w:ascii="微软雅黑" w:hAnsi="微软雅黑" w:eastAsia="微软雅黑" w:cs="微软雅黑"/>
          <w:sz w:val="18"/>
          <w:szCs w:val="18"/>
          <w:lang w:val="en-US" w:eastAsia="zh-CN"/>
        </w:rPr>
      </w:pPr>
      <w:r>
        <w:rPr>
          <w:rFonts w:hint="eastAsia" w:ascii="微软雅黑" w:hAnsi="微软雅黑" w:eastAsia="微软雅黑" w:cs="微软雅黑"/>
          <w:sz w:val="18"/>
          <w:szCs w:val="18"/>
          <w:lang w:val="en-US" w:eastAsia="zh-CN"/>
        </w:rPr>
        <w:t>5、</w:t>
      </w:r>
      <w:r>
        <w:rPr>
          <w:rFonts w:hint="eastAsia" w:ascii="微软雅黑" w:hAnsi="微软雅黑" w:eastAsia="微软雅黑" w:cs="微软雅黑"/>
          <w:sz w:val="18"/>
          <w:szCs w:val="18"/>
        </w:rPr>
        <w:t>ABC</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四、简答题</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(每小题5分，共15分)</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1. 答：净现值NPV，净现值率NPVR，获利指数PI和内部收益率IRR指标之间存在以下数量关系，即：当NPV&gt;0时，NPVR&gt;0，PI&gt;i，IRR&gt;ic 当NPV=0时，NPVR=0，</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PI=l，IRR=ic 当NPV&lt;0时,NPVR&lt;0，PI&lt;I，IRR&lt;IC .</w:t>
      </w:r>
    </w:p>
    <w:p>
      <w:pPr>
        <w:rPr>
          <w:rFonts w:hint="eastAsia" w:ascii="微软雅黑" w:hAnsi="微软雅黑" w:eastAsia="微软雅黑" w:cs="微软雅黑"/>
          <w:sz w:val="18"/>
          <w:szCs w:val="18"/>
        </w:rPr>
      </w:pP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2.  答案：成本的可控性是相对的，由于它与责任中心所处管理层次的高低、管理权限及控制范围的大小，以及管理条件的变化有着直接的关系，因此，在一定空间和时间条件下，可控成本与不可控成本可以实现相互转化。</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 </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 xml:space="preserve"> 五、计算题(共40分)  </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l.</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固定资产年折旧=(80-8)/5=14.4(万元) (2分) </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NCFo-1＝-40(万元) (2分) </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 xml:space="preserve">NCF2=-10(万元) (2分)  </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 xml:space="preserve">NCF3=20-10=10(万元) (2分)  </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NCF4-6=(85-55-14.4)X(1-40％)+14.4=23.76(万元) (3分) </w:t>
      </w:r>
    </w:p>
    <w:p>
      <w:pPr>
        <w:rPr>
          <w:rFonts w:hint="eastAsia" w:ascii="微软雅黑" w:hAnsi="微软雅黑" w:eastAsia="微软雅黑" w:cs="微软雅黑"/>
          <w:sz w:val="18"/>
          <w:szCs w:val="18"/>
        </w:rPr>
      </w:pPr>
      <w:r>
        <w:rPr>
          <w:rFonts w:hint="eastAsia" w:ascii="微软雅黑" w:hAnsi="微软雅黑" w:eastAsia="微软雅黑" w:cs="微软雅黑"/>
          <w:sz w:val="18"/>
          <w:szCs w:val="18"/>
        </w:rPr>
        <w:t>NCF7=(85-55-14.4)X(1-40％)+14.4+8+10=41.76(万元) (4分) </w:t>
      </w:r>
    </w:p>
    <w:p>
      <w:pPr>
        <w:rPr>
          <w:rFonts w:hint="default" w:ascii="微软雅黑" w:hAnsi="微软雅黑" w:eastAsia="微软雅黑" w:cs="微软雅黑"/>
          <w:sz w:val="18"/>
          <w:szCs w:val="18"/>
          <w:lang w:val="en-US" w:eastAsia="zh-CN"/>
        </w:rPr>
      </w:pPr>
      <w:r>
        <w:rPr>
          <w:rFonts w:hint="eastAsia" w:ascii="微软雅黑" w:hAnsi="微软雅黑" w:eastAsia="微软雅黑" w:cs="微软雅黑"/>
          <w:sz w:val="18"/>
          <w:szCs w:val="18"/>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EF03B2"/>
    <w:rsid w:val="20EA0B31"/>
    <w:rsid w:val="40EF03B2"/>
    <w:rsid w:val="430F7ED4"/>
    <w:rsid w:val="707B5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498</Words>
  <Characters>715</Characters>
  <Lines>0</Lines>
  <Paragraphs>0</Paragraphs>
  <TotalTime>3</TotalTime>
  <ScaleCrop>false</ScaleCrop>
  <LinksUpToDate>false</LinksUpToDate>
  <CharactersWithSpaces>749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2019-12-12T02:44:00Z</dcterms:created>
  <dc:creator>油炸大西瓜</dc:creator>
  <cp:lastModifiedBy>随风</cp:lastModifiedBy>
  <dcterms:modified xsi:type="dcterms:W3CDTF">2022-04-21T03:02:09Z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CD74A08230C546E5B5C891AEFCB897AD</vt:lpwstr>
  </property>
  <property fmtid="{D5CDD505-2E9C-101B-9397-08002B2CF9AE}" pid="4" name="commondata">
    <vt:lpwstr>eyJoZGlkIjoiYWY0MGQ3MzY4Njc5NDViMzBmMzU0Yjk1ZmYzYTQ0MzQifQ==</vt:lpwstr>
  </property>
</Properties>
</file>