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840" w:leftChars="0" w:right="0" w:firstLine="420" w:firstLineChars="0"/>
        <w:rPr>
          <w:rFonts w:hint="eastAsia" w:ascii="宋体" w:hAnsi="宋体" w:eastAsia="宋体" w:cs="宋体"/>
          <w:color w:val="010000"/>
          <w:sz w:val="21"/>
          <w:szCs w:val="21"/>
          <w:lang w:val="en-US" w:eastAsia="zh-CN"/>
        </w:rPr>
      </w:pPr>
      <w:r>
        <w:rPr>
          <w:rFonts w:hint="eastAsia" w:ascii="宋体" w:hAnsi="宋体" w:eastAsia="宋体" w:cs="宋体"/>
          <w:color w:val="010000"/>
          <w:sz w:val="21"/>
          <w:szCs w:val="21"/>
          <w:lang w:val="en-US" w:eastAsia="zh-CN"/>
        </w:rPr>
        <w:t>财务会计答案</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一、单选题</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1、 </w:t>
      </w:r>
      <w:r>
        <w:rPr>
          <w:rFonts w:hint="eastAsia" w:ascii="宋体" w:hAnsi="宋体" w:eastAsia="宋体" w:cs="宋体"/>
          <w:color w:val="010000"/>
          <w:sz w:val="21"/>
          <w:szCs w:val="21"/>
        </w:rPr>
        <w:t>下列有关会计主体与法律主体之间关系的说法正确的是（A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A.会计主体不一定是法律主体，而法律主体必然是会计主体</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B.法律主体不一定是会计主体，而会计主体必然是法律主体</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C.法律主体不一定是会计主体，会计主体也不一定是法律主体</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D.会计主体一定是法律主体，法律主体也一定是会计主体</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2、 </w:t>
      </w:r>
      <w:r>
        <w:rPr>
          <w:rFonts w:hint="eastAsia" w:ascii="宋体" w:hAnsi="宋体" w:eastAsia="宋体" w:cs="宋体"/>
          <w:color w:val="010000"/>
          <w:sz w:val="21"/>
          <w:szCs w:val="21"/>
        </w:rPr>
        <w:t>库存现金清查中发现现金短缺，属于无法查明的其他原因，根据管理权限，经批准后处理，应编制的会计分录为（D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A．借：其他应收款——应收现金短缺款</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贷：待处理财产损溢——待处理流动资产损溢</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B．借：待处理财产损溢——待处理流动资产损溢</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贷：其他应收款——应收现金短缺款</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C．借：库存现金</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贷：待处理财产损溢——待处理流动资产损溢</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D．借：管理费用——现金短缺</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贷：待处理财产损溢——待处理流动资产损溢</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3、 </w:t>
      </w:r>
      <w:r>
        <w:rPr>
          <w:rFonts w:hint="eastAsia" w:ascii="宋体" w:hAnsi="宋体" w:eastAsia="宋体" w:cs="宋体"/>
          <w:color w:val="010000"/>
          <w:sz w:val="21"/>
          <w:szCs w:val="21"/>
        </w:rPr>
        <w:t>对于银行已经入账而企业尚未入账的未达账项，企业应当（ C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A．根据“银行对账单”记录的金额入账</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B．在编制“银行存款余额调节表”的同时入账</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C．等有关单据到达时再进行账务处理</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D．根据“银行对账单”和“银行存款余额调节表”自制原始凭证入账</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4、 </w:t>
      </w:r>
      <w:r>
        <w:rPr>
          <w:rFonts w:hint="eastAsia" w:ascii="宋体" w:hAnsi="宋体" w:eastAsia="宋体" w:cs="宋体"/>
          <w:color w:val="010000"/>
          <w:sz w:val="21"/>
          <w:szCs w:val="21"/>
        </w:rPr>
        <w:t xml:space="preserve">某企业与4月10日销售商品收到带息票据一张，面值50 000元，年利率8%，6个月期，于6月10日贴现，贴现率为10%，该企业实际收到的贴现金额应为（ A ）元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A．50267 B. 49763 C. 52000 D. 50000</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5、 </w:t>
      </w:r>
      <w:r>
        <w:rPr>
          <w:rFonts w:hint="eastAsia" w:ascii="宋体" w:hAnsi="宋体" w:eastAsia="宋体" w:cs="宋体"/>
          <w:color w:val="010000"/>
          <w:sz w:val="21"/>
          <w:szCs w:val="21"/>
        </w:rPr>
        <w:t>在会计实务中，预付账款业务不多时，企业可以通过（ C ）科目来核算预付账款业务。</w:t>
      </w:r>
    </w:p>
    <w:p>
      <w:pPr>
        <w:pStyle w:val="2"/>
        <w:keepNext w:val="0"/>
        <w:keepLines w:val="0"/>
        <w:widowControl/>
        <w:suppressLineNumbers w:val="0"/>
        <w:spacing w:before="0" w:beforeAutospacing="1" w:after="0" w:afterAutospacing="1"/>
        <w:ind w:left="0" w:right="0"/>
        <w:rPr>
          <w:rFonts w:hint="eastAsia" w:ascii="宋体" w:hAnsi="宋体" w:eastAsia="宋体" w:cs="宋体"/>
          <w:color w:val="010000"/>
          <w:sz w:val="21"/>
          <w:szCs w:val="21"/>
        </w:rPr>
      </w:pPr>
      <w:r>
        <w:rPr>
          <w:rFonts w:hint="eastAsia" w:ascii="宋体" w:hAnsi="宋体" w:eastAsia="宋体" w:cs="宋体"/>
          <w:color w:val="010000"/>
          <w:sz w:val="21"/>
          <w:szCs w:val="21"/>
        </w:rPr>
        <w:t>A．应收账款 B. 其他应收款 C. 应付账款 D. 预收账款</w:t>
      </w:r>
    </w:p>
    <w:p>
      <w:pPr>
        <w:pStyle w:val="2"/>
        <w:keepNext w:val="0"/>
        <w:keepLines w:val="0"/>
        <w:widowControl/>
        <w:suppressLineNumbers w:val="0"/>
        <w:spacing w:before="0" w:beforeAutospacing="1" w:after="0" w:afterAutospacing="1"/>
        <w:ind w:left="0" w:right="0"/>
        <w:rPr>
          <w:rFonts w:hint="eastAsia" w:ascii="宋体" w:hAnsi="宋体" w:eastAsia="宋体" w:cs="宋体"/>
          <w:color w:val="010000"/>
          <w:sz w:val="21"/>
          <w:szCs w:val="21"/>
        </w:rPr>
      </w:pPr>
      <w:r>
        <w:rPr>
          <w:rFonts w:hint="eastAsia" w:ascii="宋体" w:hAnsi="宋体" w:eastAsia="宋体" w:cs="宋体"/>
          <w:color w:val="010000"/>
          <w:sz w:val="21"/>
          <w:szCs w:val="21"/>
        </w:rPr>
        <w:t>二、多选题</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 xml:space="preserve">1、下列关于会计目的的说法正确的有（ABCDE ）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A.会计目的是指在一定历史条件下，人们通过会计实践活动所期望达到的结果</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B.会计目的受客观条件的影响与制约，在不同的时空范围内，会计目的也往往不一样</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C.经济环境影响会计信息的需求、会计程序与方法，以及企业提供会计信息的意愿</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D.按照我国发布的企业会计准则，在目前的经济环境下，企业提供财务会计信息的主要目的是：满足国家宏观经济管理的需要；满足有关方面了解企业财务状况和经营成果的需要；满足企业加强内部经营管理的需要</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E.经济环境会影响会计目的</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2、带息应收票据贴现时，影响其贴现款的因素有（ABCDE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A. 票据的面值 B. 票据的利息 C. 贴现率 D. 票据的期限</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E. 贴现日到到期日的时间</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3、 </w:t>
      </w:r>
      <w:r>
        <w:rPr>
          <w:rFonts w:hint="eastAsia" w:ascii="宋体" w:hAnsi="宋体" w:eastAsia="宋体" w:cs="宋体"/>
          <w:color w:val="010000"/>
          <w:sz w:val="21"/>
          <w:szCs w:val="21"/>
        </w:rPr>
        <w:t>按照会计制度规定，下列应收款项中，不能全额计提坏账准备的有（ABC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A. 当年发生的应收账款 B. 计划进行重组的应收账款</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C. 与关联方发生的应收账款 D. 逾期3年以上的应收账款</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E. 债务单位破产的应收账款</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4、 </w:t>
      </w:r>
      <w:r>
        <w:rPr>
          <w:rFonts w:hint="eastAsia" w:ascii="宋体" w:hAnsi="宋体" w:eastAsia="宋体" w:cs="宋体"/>
          <w:color w:val="010000"/>
          <w:sz w:val="21"/>
          <w:szCs w:val="21"/>
        </w:rPr>
        <w:t xml:space="preserve">下列项目中，应计入存货采购成本的是（ ABCD ）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A.购货价格 B.企业收购未税矿产代扣代缴的资源税</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C.小规模纳税人购入存货支付的增值税进项税 D. 进口关税</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E.一般纳税人购入存货支付的增值税进项税</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5、 </w:t>
      </w:r>
      <w:r>
        <w:rPr>
          <w:rFonts w:hint="eastAsia" w:ascii="宋体" w:hAnsi="宋体" w:eastAsia="宋体" w:cs="宋体"/>
          <w:color w:val="010000"/>
          <w:sz w:val="21"/>
          <w:szCs w:val="21"/>
        </w:rPr>
        <w:t xml:space="preserve">下列各项中，可判断可供出售金融资产发生了减值的情况有（ ABCDE）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 xml:space="preserve">A.发行方或债务人发生严重困难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 xml:space="preserve">B.因发行方发生重大财务困难，该金融资产无法在活跃市场继续交易 C.债务人所在国家或地区失业率大大提高，担保物在其所在地区的价格明显下降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 xml:space="preserve">D.权益工具投资的公允价值发生严重或非暂时性下跌 </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E.债务人很可能倒闭或进行其他财务重组</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color w:val="010000"/>
          <w:sz w:val="21"/>
          <w:szCs w:val="21"/>
        </w:rPr>
        <w:t>三、名词解释</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1、 </w:t>
      </w:r>
      <w:r>
        <w:rPr>
          <w:rFonts w:hint="eastAsia" w:ascii="宋体" w:hAnsi="宋体" w:eastAsia="宋体" w:cs="宋体"/>
          <w:color w:val="010000"/>
          <w:sz w:val="21"/>
          <w:szCs w:val="21"/>
        </w:rPr>
        <w:t xml:space="preserve">现金折扣 </w:t>
      </w:r>
    </w:p>
    <w:p>
      <w:pPr>
        <w:pStyle w:val="2"/>
        <w:keepNext w:val="0"/>
        <w:keepLines w:val="0"/>
        <w:widowControl/>
        <w:suppressLineNumbers w:val="0"/>
        <w:rPr>
          <w:rFonts w:hint="eastAsia" w:ascii="宋体" w:hAnsi="宋体" w:eastAsia="宋体" w:cs="宋体"/>
          <w:sz w:val="21"/>
          <w:szCs w:val="21"/>
        </w:rPr>
      </w:pPr>
      <w:r>
        <w:rPr>
          <w:rFonts w:hint="eastAsia" w:ascii="宋体" w:hAnsi="宋体" w:eastAsia="宋体" w:cs="宋体"/>
          <w:color w:val="010000"/>
          <w:sz w:val="21"/>
          <w:szCs w:val="21"/>
        </w:rPr>
        <w:t>现金折扣是指销售企业为了鼓励客户在一定期间内早日偿还货款，对销售价格所给予的一定比例的扣减。</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2、 </w:t>
      </w:r>
      <w:r>
        <w:rPr>
          <w:rFonts w:hint="eastAsia" w:ascii="宋体" w:hAnsi="宋体" w:eastAsia="宋体" w:cs="宋体"/>
          <w:color w:val="010000"/>
          <w:sz w:val="21"/>
          <w:szCs w:val="21"/>
        </w:rPr>
        <w:t xml:space="preserve">委托加工原材料 </w:t>
      </w:r>
    </w:p>
    <w:p>
      <w:pPr>
        <w:pStyle w:val="2"/>
        <w:keepNext w:val="0"/>
        <w:keepLines w:val="0"/>
        <w:widowControl/>
        <w:suppressLineNumbers w:val="0"/>
        <w:rPr>
          <w:rFonts w:hint="eastAsia" w:ascii="宋体" w:hAnsi="宋体" w:eastAsia="宋体" w:cs="宋体"/>
          <w:sz w:val="21"/>
          <w:szCs w:val="21"/>
        </w:rPr>
      </w:pPr>
      <w:r>
        <w:rPr>
          <w:rFonts w:hint="eastAsia" w:ascii="宋体" w:hAnsi="宋体" w:eastAsia="宋体" w:cs="宋体"/>
          <w:color w:val="010000"/>
          <w:sz w:val="21"/>
          <w:szCs w:val="21"/>
        </w:rPr>
        <w:t>委托原材料加工是指由企业提供原材料及主要材料，通过支付加工费，由受托加工单位按合同要求加工为企业所需要的原材料。</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 xml:space="preserve">3、 </w:t>
      </w:r>
      <w:r>
        <w:rPr>
          <w:rFonts w:hint="eastAsia" w:ascii="宋体" w:hAnsi="宋体" w:eastAsia="宋体" w:cs="宋体"/>
          <w:color w:val="010000"/>
          <w:sz w:val="21"/>
          <w:szCs w:val="21"/>
        </w:rPr>
        <w:t xml:space="preserve">交易性金融资产 </w:t>
      </w:r>
    </w:p>
    <w:p>
      <w:pPr>
        <w:pStyle w:val="2"/>
        <w:keepNext w:val="0"/>
        <w:keepLines w:val="0"/>
        <w:widowControl/>
        <w:suppressLineNumbers w:val="0"/>
        <w:rPr>
          <w:rFonts w:hint="eastAsia" w:ascii="宋体" w:hAnsi="宋体" w:eastAsia="宋体" w:cs="宋体"/>
          <w:sz w:val="21"/>
          <w:szCs w:val="21"/>
        </w:rPr>
      </w:pPr>
      <w:r>
        <w:rPr>
          <w:rFonts w:hint="eastAsia" w:ascii="宋体" w:hAnsi="宋体" w:eastAsia="宋体" w:cs="宋体"/>
          <w:color w:val="010000"/>
          <w:sz w:val="21"/>
          <w:szCs w:val="21"/>
        </w:rPr>
        <w:t>交易性金融资产主要是指为了近期内出售而持有、在活跃市场上有公开报价、公允价值能够持续可靠获得的金融资产。</w:t>
      </w:r>
    </w:p>
    <w:p>
      <w:pPr>
        <w:pStyle w:val="2"/>
        <w:keepNext w:val="0"/>
        <w:keepLines w:val="0"/>
        <w:widowControl/>
        <w:suppressLineNumbers w:val="0"/>
        <w:rPr>
          <w:rFonts w:hint="eastAsia" w:ascii="宋体" w:hAnsi="宋体" w:eastAsia="宋体" w:cs="宋体"/>
          <w:sz w:val="21"/>
          <w:szCs w:val="21"/>
        </w:rPr>
      </w:pPr>
      <w:r>
        <w:rPr>
          <w:rFonts w:hint="eastAsia" w:ascii="宋体" w:hAnsi="宋体" w:eastAsia="宋体" w:cs="宋体"/>
          <w:color w:val="010000"/>
          <w:sz w:val="21"/>
          <w:szCs w:val="21"/>
        </w:rPr>
        <w:t>四、简答题</w:t>
      </w:r>
      <w:bookmarkStart w:id="0" w:name="_GoBack"/>
      <w:bookmarkEnd w:id="0"/>
    </w:p>
    <w:p>
      <w:pPr>
        <w:pStyle w:val="2"/>
        <w:keepNext w:val="0"/>
        <w:keepLines w:val="0"/>
        <w:widowControl/>
        <w:suppressLineNumbers w:val="0"/>
        <w:rPr>
          <w:rFonts w:hint="eastAsia" w:ascii="宋体" w:hAnsi="宋体" w:eastAsia="宋体" w:cs="宋体"/>
          <w:sz w:val="21"/>
          <w:szCs w:val="21"/>
        </w:rPr>
      </w:pPr>
      <w:r>
        <w:rPr>
          <w:rFonts w:hint="eastAsia" w:ascii="宋体" w:hAnsi="宋体" w:eastAsia="宋体" w:cs="宋体"/>
          <w:color w:val="010000"/>
          <w:sz w:val="21"/>
          <w:szCs w:val="21"/>
        </w:rPr>
        <w:t xml:space="preserve">1、简述存货盘亏的处理。 </w:t>
      </w:r>
    </w:p>
    <w:p>
      <w:pPr>
        <w:pStyle w:val="2"/>
        <w:keepNext w:val="0"/>
        <w:keepLines w:val="0"/>
        <w:widowControl/>
        <w:suppressLineNumbers w:val="0"/>
        <w:rPr>
          <w:rFonts w:hint="eastAsia" w:ascii="宋体" w:hAnsi="宋体" w:eastAsia="宋体" w:cs="宋体"/>
          <w:sz w:val="21"/>
          <w:szCs w:val="21"/>
        </w:rPr>
      </w:pPr>
      <w:r>
        <w:rPr>
          <w:rFonts w:hint="eastAsia" w:ascii="宋体" w:hAnsi="宋体" w:eastAsia="宋体" w:cs="宋体"/>
          <w:color w:val="010000"/>
          <w:sz w:val="21"/>
          <w:szCs w:val="21"/>
        </w:rPr>
        <w:t>发生存货盘亏和毁损，在批准处理以前，应先通过“待处理财产损益—待处理流动资产损益”进行核算。盘亏和毁损时，一般按盘亏和毁损存货的实际成本（大多按盘亏毁损的数量和该存货的期初结存单价计算确定）冲减存货的账目记录，借记“待处理财产损益—待处理流动资产损益”，贷记有关的存货科目。需要指出的是根据我国《增值税暂行条例》的规定，企业发生的非正常损失的购进货物以及非正常损失的在产品、产成品所耗用的购进货物或应税劳务的进项税额不得从销项税额中抵扣。因此，非正常损失的存货价值包括其实际成本和应负担的进项税额两部分，发生非正常毁损（如自然灾害、被盗窃及管理不善造成大量霉烂变质等）时，应按非正常损失的价值借记“待处理财产损益—待处理流动资产损益”按非正常损失的实际成本贷记有关存货科目，按非正常损失存货应负担的进项税额贷记“应交税费—应交增值税（进项税额转出）。</w:t>
      </w:r>
    </w:p>
    <w:p>
      <w:pPr>
        <w:pStyle w:val="2"/>
        <w:keepNext w:val="0"/>
        <w:keepLines w:val="0"/>
        <w:widowControl/>
        <w:suppressLineNumbers w:val="0"/>
        <w:spacing w:before="0" w:beforeAutospacing="1" w:after="0" w:afterAutospacing="1"/>
        <w:ind w:left="0" w:right="0"/>
        <w:rPr>
          <w:rFonts w:hint="eastAsia" w:ascii="宋体" w:hAnsi="宋体" w:eastAsia="宋体" w:cs="宋体"/>
          <w:color w:val="010000"/>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950BEC"/>
    <w:rsid w:val="29501F65"/>
    <w:rsid w:val="380C45C7"/>
    <w:rsid w:val="3E044D24"/>
    <w:rsid w:val="4B2B2417"/>
    <w:rsid w:val="5C6E1A84"/>
    <w:rsid w:val="603A2F10"/>
    <w:rsid w:val="69430D69"/>
    <w:rsid w:val="6D31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2022-04-20T03:09:00Z</dcterms:created>
  <dc:creator>Administrator</dc:creator>
  <cp:lastModifiedBy>小灰灰</cp:lastModifiedBy>
  <dcterms:modified xsi:type="dcterms:W3CDTF">2022-04-20T06:23:40Z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EC39A3D947A4423898BCE9391ACDEB17</vt:lpwstr>
  </property>
</Properties>
</file>